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75A9" w14:textId="77777777" w:rsidR="00A97E5B" w:rsidRPr="002601EC" w:rsidRDefault="00A97E5B">
      <w:pPr>
        <w:spacing w:line="276" w:lineRule="auto"/>
        <w:jc w:val="both"/>
        <w:rPr>
          <w:rFonts w:ascii="Aptos" w:hAnsi="Aptos" w:cstheme="minorHAnsi"/>
          <w:b/>
          <w:bCs/>
          <w:color w:val="4472C4" w:themeColor="accent1"/>
          <w:lang w:val="ca-ES"/>
        </w:rPr>
      </w:pPr>
    </w:p>
    <w:p w14:paraId="07761D62" w14:textId="77777777" w:rsidR="00A97E5B" w:rsidRPr="002601EC" w:rsidRDefault="00A97E5B">
      <w:pPr>
        <w:spacing w:line="276" w:lineRule="auto"/>
        <w:jc w:val="both"/>
        <w:rPr>
          <w:rFonts w:ascii="Aptos" w:hAnsi="Aptos" w:cstheme="minorHAnsi"/>
          <w:b/>
          <w:bCs/>
          <w:color w:val="4472C4" w:themeColor="accent1"/>
          <w:lang w:val="ca-ES"/>
        </w:rPr>
      </w:pPr>
    </w:p>
    <w:p w14:paraId="350EA1A1" w14:textId="77777777" w:rsidR="00A97E5B" w:rsidRPr="002601EC" w:rsidRDefault="00A97E5B">
      <w:pPr>
        <w:spacing w:line="276" w:lineRule="auto"/>
        <w:jc w:val="both"/>
        <w:rPr>
          <w:rFonts w:ascii="Aptos" w:hAnsi="Aptos" w:cstheme="minorHAnsi"/>
          <w:b/>
          <w:bCs/>
          <w:color w:val="4472C4" w:themeColor="accent1"/>
          <w:lang w:val="ca-ES"/>
        </w:rPr>
      </w:pPr>
    </w:p>
    <w:p w14:paraId="00D355F8" w14:textId="22C1CE8B" w:rsidR="00561CC5" w:rsidRPr="002601EC" w:rsidRDefault="00561CC5" w:rsidP="00F021F5">
      <w:pPr>
        <w:spacing w:after="120" w:line="276" w:lineRule="auto"/>
        <w:jc w:val="center"/>
        <w:rPr>
          <w:rFonts w:ascii="Aptos" w:hAnsi="Aptos" w:cstheme="minorHAnsi"/>
          <w:b/>
          <w:bCs/>
          <w:color w:val="000000"/>
          <w:lang w:val="ca-ES"/>
        </w:rPr>
      </w:pPr>
      <w:r w:rsidRPr="002601EC">
        <w:rPr>
          <w:rFonts w:ascii="Aptos" w:hAnsi="Aptos" w:cstheme="minorHAnsi"/>
          <w:b/>
          <w:bCs/>
          <w:color w:val="000000"/>
          <w:lang w:val="ca-ES"/>
        </w:rPr>
        <w:t xml:space="preserve">LITEL- </w:t>
      </w:r>
      <w:r w:rsidR="00F021F5" w:rsidRPr="002601EC">
        <w:rPr>
          <w:rFonts w:ascii="Aptos" w:hAnsi="Aptos" w:cstheme="minorHAnsi"/>
          <w:b/>
          <w:bCs/>
          <w:color w:val="000000"/>
          <w:lang w:val="ca-ES"/>
        </w:rPr>
        <w:t>CDF</w:t>
      </w:r>
      <w:r w:rsidRPr="002601EC">
        <w:rPr>
          <w:rFonts w:ascii="Aptos" w:hAnsi="Aptos" w:cstheme="minorHAnsi"/>
          <w:b/>
          <w:bCs/>
          <w:color w:val="000000"/>
          <w:lang w:val="ca-ES"/>
        </w:rPr>
        <w:t>. Ca</w:t>
      </w:r>
      <w:r w:rsidR="002601EC" w:rsidRPr="002601EC">
        <w:rPr>
          <w:rFonts w:ascii="Aptos" w:hAnsi="Aptos" w:cstheme="minorHAnsi"/>
          <w:b/>
          <w:bCs/>
          <w:color w:val="000000"/>
          <w:lang w:val="ca-ES"/>
        </w:rPr>
        <w:t>ixa de material Qüestionari.</w:t>
      </w:r>
    </w:p>
    <w:p w14:paraId="4695BA00" w14:textId="77777777" w:rsidR="00561CC5" w:rsidRPr="002601EC" w:rsidRDefault="00561CC5" w:rsidP="00F021F5">
      <w:pPr>
        <w:spacing w:after="120" w:line="276" w:lineRule="auto"/>
        <w:jc w:val="center"/>
        <w:rPr>
          <w:rFonts w:ascii="Aptos" w:hAnsi="Aptos" w:cstheme="minorHAnsi"/>
          <w:color w:val="4472C4" w:themeColor="accent1"/>
          <w:lang w:val="ca-ES"/>
        </w:rPr>
      </w:pPr>
    </w:p>
    <w:p w14:paraId="790D6099" w14:textId="0C9D8FAC" w:rsidR="00561CC5" w:rsidRPr="002601EC" w:rsidRDefault="002601EC" w:rsidP="00F021F5">
      <w:pPr>
        <w:spacing w:after="120" w:line="276" w:lineRule="auto"/>
        <w:jc w:val="center"/>
        <w:rPr>
          <w:rFonts w:ascii="Aptos" w:hAnsi="Aptos" w:cstheme="minorHAnsi"/>
          <w:color w:val="4472C4" w:themeColor="accent1"/>
          <w:lang w:val="ca-ES"/>
        </w:rPr>
      </w:pPr>
      <w:r>
        <w:rPr>
          <w:rFonts w:ascii="Aptos" w:hAnsi="Aptos" w:cstheme="minorHAnsi"/>
          <w:color w:val="4472C4" w:themeColor="accent1"/>
          <w:lang w:val="ca-ES"/>
        </w:rPr>
        <w:t>QÜESTIONARI</w:t>
      </w:r>
    </w:p>
    <w:p w14:paraId="3C6F187F" w14:textId="77777777" w:rsidR="00F021F5" w:rsidRPr="002601EC" w:rsidRDefault="00F021F5" w:rsidP="00561CC5">
      <w:pPr>
        <w:spacing w:after="120" w:line="276" w:lineRule="auto"/>
        <w:jc w:val="both"/>
        <w:rPr>
          <w:rFonts w:ascii="Aptos" w:hAnsi="Aptos" w:cstheme="minorHAnsi"/>
          <w:color w:val="000000"/>
          <w:lang w:val="ca-ES"/>
        </w:rPr>
      </w:pPr>
    </w:p>
    <w:p w14:paraId="18B6C888" w14:textId="77777777" w:rsidR="002601EC" w:rsidRPr="002601EC" w:rsidRDefault="002601EC" w:rsidP="002601EC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Aquest qüestionari també es pot fer servir com una avaluació dels continguts de l'ABC. Les respostes correctes estan marcades en verd.</w:t>
      </w:r>
    </w:p>
    <w:p w14:paraId="56DAB45F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56398342" w14:textId="45F00346" w:rsidR="002601EC" w:rsidRPr="002601EC" w:rsidRDefault="002601EC" w:rsidP="002601EC">
      <w:pPr>
        <w:pStyle w:val="Pargrafdellista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Quin és el propòsit principal del procediment de remissió prejudicial?</w:t>
      </w:r>
    </w:p>
    <w:p w14:paraId="3A9E82BE" w14:textId="08F284EB" w:rsidR="00561CC5" w:rsidRDefault="002601EC" w:rsidP="008C6BAE">
      <w:pPr>
        <w:pStyle w:val="Pargrafdellista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Brindar als tribunals nacionals assistència en la interpretació del dret de la UE</w:t>
      </w:r>
      <w:r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.</w:t>
      </w:r>
    </w:p>
    <w:p w14:paraId="16CEAC43" w14:textId="77777777" w:rsidR="002601EC" w:rsidRPr="002601EC" w:rsidRDefault="002601EC" w:rsidP="002601EC">
      <w:pPr>
        <w:pStyle w:val="Pargrafdellista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Exercir la supremacia del dret de la UE sobre la legislació nacional.</w:t>
      </w:r>
    </w:p>
    <w:p w14:paraId="279EEBF4" w14:textId="23BE13ED" w:rsidR="002601EC" w:rsidRPr="002601EC" w:rsidRDefault="002601EC" w:rsidP="008C6BAE">
      <w:pPr>
        <w:pStyle w:val="Pargrafdellista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Assegurar l'aplicació i la interpretació uniformes del dret nacional en qüestió</w:t>
      </w:r>
    </w:p>
    <w:p w14:paraId="5484FF84" w14:textId="60416E98" w:rsidR="00561CC5" w:rsidRDefault="002601EC" w:rsidP="002601EC">
      <w:pPr>
        <w:pStyle w:val="Pargrafdellista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Garantir una supremacia de facto del TJUE sobre els tribunals nacionals.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</w:p>
    <w:p w14:paraId="38CBBA76" w14:textId="77777777" w:rsidR="002601EC" w:rsidRPr="002601EC" w:rsidRDefault="002601EC" w:rsidP="002601EC">
      <w:pPr>
        <w:pStyle w:val="Pargrafdellista"/>
        <w:spacing w:after="120" w:line="276" w:lineRule="auto"/>
        <w:ind w:left="1068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1CC3041A" w14:textId="4443334B" w:rsidR="00561CC5" w:rsidRPr="002601EC" w:rsidRDefault="002601EC" w:rsidP="008C6BAE">
      <w:pPr>
        <w:pStyle w:val="Pargrafdellista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>Quina de les següents afirmacions és/son  certes?</w:t>
      </w:r>
    </w:p>
    <w:p w14:paraId="00810A01" w14:textId="4B7AA9AA" w:rsidR="00561CC5" w:rsidRPr="002601EC" w:rsidRDefault="00561CC5" w:rsidP="008C6BAE">
      <w:pPr>
        <w:pStyle w:val="Pargrafdellista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és un  exemple de legislació secundària de la UE.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</w:p>
    <w:p w14:paraId="750BCC6F" w14:textId="3B0BC144" w:rsidR="00561CC5" w:rsidRPr="002601EC" w:rsidRDefault="00561CC5" w:rsidP="008C6BAE">
      <w:pPr>
        <w:pStyle w:val="Pargrafdellista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no 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disposa de l’estatus de dret primari de la UE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289CAC24" w14:textId="2AE0AD25" w:rsidR="00561CC5" w:rsidRPr="002601EC" w:rsidRDefault="00561CC5" w:rsidP="008C6BAE">
      <w:pPr>
        <w:pStyle w:val="Pargrafdellista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contempla els mateixos drets que el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CEDH.</w:t>
      </w:r>
    </w:p>
    <w:p w14:paraId="038E6E64" w14:textId="089B7391" w:rsidR="00561CC5" w:rsidRPr="002601EC" w:rsidRDefault="00561CC5" w:rsidP="008C6BAE">
      <w:pPr>
        <w:pStyle w:val="Pargrafdellista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La </w:t>
      </w:r>
      <w:r w:rsidR="002F40F0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CDF</w:t>
      </w: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proporciona (al men</w:t>
      </w:r>
      <w:r w:rsidR="002601EC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ys</w:t>
      </w: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) el </w:t>
      </w:r>
      <w:r w:rsidR="002601EC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mateix nivell de protecció que </w:t>
      </w: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el CEDH.</w:t>
      </w:r>
    </w:p>
    <w:p w14:paraId="0A2D97CC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122519B2" w14:textId="01D5726F" w:rsidR="00561CC5" w:rsidRPr="002601EC" w:rsidRDefault="002601EC" w:rsidP="008C6BAE">
      <w:pPr>
        <w:pStyle w:val="Pargrafdellista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En quina situació és aplicable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la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?</w:t>
      </w:r>
    </w:p>
    <w:p w14:paraId="6D3F56B3" w14:textId="6362B443" w:rsidR="002F40F0" w:rsidRPr="002601EC" w:rsidRDefault="002601EC" w:rsidP="008C6BAE">
      <w:pPr>
        <w:pStyle w:val="Pargrafdellista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Quan  s’aplica el dret de la </w:t>
      </w:r>
      <w:r w:rsidR="00561CC5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UE.</w:t>
      </w:r>
    </w:p>
    <w:p w14:paraId="55772C41" w14:textId="44681EEA" w:rsidR="002F40F0" w:rsidRPr="002601EC" w:rsidRDefault="002601EC" w:rsidP="008C6BAE">
      <w:pPr>
        <w:pStyle w:val="Pargrafdellista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Quan el  dret de la UE és aplicat per institucions de la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UE.</w:t>
      </w:r>
    </w:p>
    <w:p w14:paraId="348CAC67" w14:textId="61A7BF10" w:rsidR="002F40F0" w:rsidRPr="002601EC" w:rsidRDefault="00561CC5" w:rsidP="008C6BAE">
      <w:pPr>
        <w:pStyle w:val="Pargrafdellista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només és aplicable en situacions que afecten a ciutadans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de la UE.</w:t>
      </w:r>
    </w:p>
    <w:p w14:paraId="2E5A087F" w14:textId="1EFD8FBD" w:rsidR="002F40F0" w:rsidRPr="002601EC" w:rsidRDefault="00561CC5" w:rsidP="008C6BAE">
      <w:pPr>
        <w:pStyle w:val="Pargrafdellista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é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s aplicable en to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tes les situacions que impliquen l’aplicació del dret a nivell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nacional.</w:t>
      </w:r>
    </w:p>
    <w:p w14:paraId="4A4F94A6" w14:textId="77777777" w:rsidR="002F40F0" w:rsidRPr="002601EC" w:rsidRDefault="002F40F0" w:rsidP="002F40F0">
      <w:pPr>
        <w:spacing w:after="120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15A9BC89" w14:textId="6B5DCDE8" w:rsidR="00561CC5" w:rsidRPr="002601EC" w:rsidRDefault="00561CC5" w:rsidP="008C6BAE">
      <w:pPr>
        <w:pStyle w:val="Pargrafdellista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En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Stauder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v. Ciudad de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Ulm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, el TJUE 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va concloure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que:</w:t>
      </w:r>
    </w:p>
    <w:p w14:paraId="2BB297BB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7D73B11A" w14:textId="521E0CF5" w:rsidR="00561CC5" w:rsidRPr="002601EC" w:rsidRDefault="00561CC5" w:rsidP="008C6BAE">
      <w:pPr>
        <w:pStyle w:val="Pargrafdellista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2601EC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protecció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dels  drets humans no forma part del dret </w:t>
      </w:r>
      <w:r w:rsidR="002601EC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comunitari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6CD50483" w14:textId="37414B12" w:rsidR="00561CC5" w:rsidRPr="002601EC" w:rsidRDefault="00561CC5" w:rsidP="008C6BAE">
      <w:pPr>
        <w:pStyle w:val="Pargrafdellista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2601EC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protecció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ls drets humans està fora de les competències conferides a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la </w:t>
      </w:r>
      <w:r w:rsidR="002601EC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Comunitat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7EEF57A2" w14:textId="0E55CED4" w:rsidR="00561CC5" w:rsidRPr="002601EC" w:rsidRDefault="00561CC5" w:rsidP="008C6BAE">
      <w:pPr>
        <w:pStyle w:val="Pargrafdellista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La </w:t>
      </w:r>
      <w:r w:rsidR="002601EC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protecció</w:t>
      </w: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de</w:t>
      </w:r>
      <w:r w:rsidR="002601EC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ls drets humans constitueix un principi general del  dret </w:t>
      </w: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</w:t>
      </w:r>
      <w:r w:rsidR="002601EC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comunitari</w:t>
      </w: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.</w:t>
      </w:r>
    </w:p>
    <w:p w14:paraId="391A6732" w14:textId="4C3F7AE7" w:rsidR="002F40F0" w:rsidRDefault="00561CC5" w:rsidP="00650360">
      <w:pPr>
        <w:pStyle w:val="Pargrafdellista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2601EC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protecció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</w:t>
      </w:r>
      <w:r w:rsidR="002601EC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ls drets humans és responsabilitat de cada Estat membre.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</w:p>
    <w:p w14:paraId="467C9A59" w14:textId="77777777" w:rsidR="002601EC" w:rsidRDefault="002601EC" w:rsidP="002601EC">
      <w:pPr>
        <w:pStyle w:val="Pargrafdellista"/>
        <w:spacing w:after="120" w:line="276" w:lineRule="auto"/>
        <w:ind w:left="1068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13D3116D" w14:textId="77777777" w:rsidR="002601EC" w:rsidRDefault="002601EC" w:rsidP="002601EC">
      <w:pPr>
        <w:pStyle w:val="Pargrafdellista"/>
        <w:spacing w:after="120" w:line="276" w:lineRule="auto"/>
        <w:ind w:left="1068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564E730C" w14:textId="77777777" w:rsidR="002601EC" w:rsidRDefault="002601EC" w:rsidP="002601EC">
      <w:pPr>
        <w:pStyle w:val="Pargrafdellista"/>
        <w:spacing w:after="120" w:line="276" w:lineRule="auto"/>
        <w:ind w:left="1068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1B80C18D" w14:textId="77777777" w:rsidR="002601EC" w:rsidRPr="002601EC" w:rsidRDefault="002601EC" w:rsidP="002601EC">
      <w:pPr>
        <w:pStyle w:val="Pargrafdellista"/>
        <w:spacing w:after="120" w:line="276" w:lineRule="auto"/>
        <w:ind w:left="1068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7319F23B" w14:textId="7597DDBD" w:rsidR="002F40F0" w:rsidRPr="002601EC" w:rsidRDefault="002F40F0" w:rsidP="008C6BAE">
      <w:pPr>
        <w:pStyle w:val="Pargrafdellista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proofErr w:type="spellStart"/>
      <w:r w:rsidRPr="002601E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Effet</w:t>
      </w:r>
      <w:proofErr w:type="spellEnd"/>
      <w:r w:rsidRPr="002601E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 </w:t>
      </w:r>
      <w:proofErr w:type="spellStart"/>
      <w:r w:rsidRPr="002601E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Utile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es refereix 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a:</w:t>
      </w:r>
    </w:p>
    <w:p w14:paraId="17BB2CF8" w14:textId="77777777" w:rsidR="004F177C" w:rsidRPr="002601EC" w:rsidRDefault="004F177C" w:rsidP="004F177C">
      <w:pPr>
        <w:pStyle w:val="Pargrafdellista"/>
        <w:spacing w:after="120" w:line="276" w:lineRule="auto"/>
        <w:jc w:val="both"/>
        <w:rPr>
          <w:rFonts w:asciiTheme="minorHAnsi" w:hAnsiTheme="minorHAnsi" w:cstheme="minorHAnsi"/>
          <w:color w:val="70AD47" w:themeColor="accent6"/>
          <w:sz w:val="22"/>
          <w:szCs w:val="22"/>
          <w:lang w:val="ca-ES"/>
        </w:rPr>
      </w:pPr>
    </w:p>
    <w:p w14:paraId="7FB392CA" w14:textId="7FE52855" w:rsidR="00561CC5" w:rsidRPr="002601EC" w:rsidRDefault="008C5DB3" w:rsidP="008C6BAE">
      <w:pPr>
        <w:pStyle w:val="Pargrafdellista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U</w:t>
      </w:r>
      <w:r w:rsidR="00561CC5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na forma de </w:t>
      </w:r>
      <w:r w:rsidR="002601EC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interpretació</w:t>
      </w:r>
      <w:r w:rsidR="00561CC5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d</w:t>
      </w:r>
      <w:r w:rsidR="002601EC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els  tractats i  instruments de dret derivat de la </w:t>
      </w:r>
      <w:r w:rsidR="00561CC5" w:rsidRPr="002601EC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UE.</w:t>
      </w:r>
    </w:p>
    <w:p w14:paraId="27FE408D" w14:textId="568E3BB4" w:rsidR="00561CC5" w:rsidRPr="002601EC" w:rsidRDefault="00561CC5" w:rsidP="008C6BAE">
      <w:pPr>
        <w:pStyle w:val="Pargrafdellista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un principi general del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dret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internacional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públic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5D4D4933" w14:textId="2870A669" w:rsidR="00561CC5" w:rsidRPr="002601EC" w:rsidRDefault="00561CC5" w:rsidP="008C6BAE">
      <w:pPr>
        <w:pStyle w:val="Pargrafdellista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una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tècnica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interpretació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dinàmica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textos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legals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8C5DB3" w:rsidRPr="002601EC">
        <w:rPr>
          <w:rFonts w:asciiTheme="minorHAnsi" w:hAnsiTheme="minorHAnsi" w:cstheme="minorHAnsi"/>
          <w:sz w:val="22"/>
          <w:szCs w:val="22"/>
          <w:lang w:val="ca-ES"/>
        </w:rPr>
        <w:t xml:space="preserve">centrada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en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el seu objecte i finalitat.</w:t>
      </w:r>
    </w:p>
    <w:p w14:paraId="453B4EA8" w14:textId="4E8BA744" w:rsidR="00561CC5" w:rsidRPr="002601EC" w:rsidRDefault="004E1A4F" w:rsidP="008C6BAE">
      <w:pPr>
        <w:pStyle w:val="Pargrafdellista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preguntes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que en el 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passat van  ser objecte d’un procediment de remissió prejudicial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en un cas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si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milar (tamb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é conegut com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como acte </w:t>
      </w:r>
      <w:proofErr w:type="spellStart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éclairé</w:t>
      </w:r>
      <w:proofErr w:type="spellEnd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).</w:t>
      </w:r>
    </w:p>
    <w:p w14:paraId="0F454C17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309F7375" w14:textId="2B92473B" w:rsidR="00561CC5" w:rsidRPr="002601EC" w:rsidRDefault="002F40F0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6.</w:t>
      </w:r>
      <w:r w:rsidR="008278B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Els  tribunals nacionals dels Estats membres poden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:</w:t>
      </w:r>
    </w:p>
    <w:p w14:paraId="701D169C" w14:textId="56192B65" w:rsidR="00561CC5" w:rsidRPr="002601EC" w:rsidRDefault="00561CC5" w:rsidP="008C6BAE">
      <w:pPr>
        <w:pStyle w:val="Pargrafdellista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Declarar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invàlida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una directiva de la UE.</w:t>
      </w:r>
    </w:p>
    <w:p w14:paraId="4424924D" w14:textId="717CD170" w:rsidR="00561CC5" w:rsidRPr="004E1A4F" w:rsidRDefault="00561CC5" w:rsidP="008C6BAE">
      <w:pPr>
        <w:pStyle w:val="Pargrafdellista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Aplicar de </w:t>
      </w:r>
      <w:r w:rsid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forma independent el dret de </w:t>
      </w: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la UE.</w:t>
      </w:r>
    </w:p>
    <w:p w14:paraId="06DE55BB" w14:textId="1A8BA7E6" w:rsidR="004E1A4F" w:rsidRDefault="00561CC5" w:rsidP="008C6BAE">
      <w:pPr>
        <w:pStyle w:val="Pargrafdellista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Rem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etre qüestions prejudicials al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Tribunal de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Justícia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la Unió Europea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segons  l’article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267 TFEU;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no  obstant, això depèn de la discreció dels  tribunals nacionals.</w:t>
      </w:r>
    </w:p>
    <w:p w14:paraId="38B7EB3A" w14:textId="2CD0D591" w:rsidR="00561CC5" w:rsidRPr="002601EC" w:rsidRDefault="00561CC5" w:rsidP="008C6BAE">
      <w:pPr>
        <w:pStyle w:val="Pargrafdellista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Invalidar un reglament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de la UE si entra en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conflicte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amb el  Tractat de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Funcionament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la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UniónEuropea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02C7F1DB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577B123A" w14:textId="5BF21449" w:rsidR="00561CC5" w:rsidRPr="002601EC" w:rsidRDefault="002F40F0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7.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"El respe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cte als drets humans forma part dels valors fonamentals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la UE".</w:t>
      </w:r>
    </w:p>
    <w:p w14:paraId="277721A6" w14:textId="52E98187" w:rsidR="00561CC5" w:rsidRPr="004E1A4F" w:rsidRDefault="004E1A4F" w:rsidP="008C6BAE">
      <w:pPr>
        <w:pStyle w:val="Pargrafdellista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Verdader</w:t>
      </w:r>
    </w:p>
    <w:p w14:paraId="7C8EEE9E" w14:textId="4492B28C" w:rsidR="00561CC5" w:rsidRDefault="00561CC5" w:rsidP="00061772">
      <w:pPr>
        <w:pStyle w:val="Pargrafdellista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Fals</w:t>
      </w:r>
    </w:p>
    <w:p w14:paraId="18E3CB6C" w14:textId="77777777" w:rsidR="004E1A4F" w:rsidRDefault="004E1A4F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4D3BDAE2" w14:textId="36C3889F" w:rsidR="00561CC5" w:rsidRPr="002601EC" w:rsidRDefault="002F40F0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8.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En </w:t>
      </w:r>
      <w:r w:rsidR="007F32D8">
        <w:rPr>
          <w:rFonts w:asciiTheme="minorHAnsi" w:hAnsiTheme="minorHAnsi" w:cstheme="minorHAnsi"/>
          <w:color w:val="000000"/>
          <w:sz w:val="22"/>
          <w:szCs w:val="22"/>
          <w:lang w:val="ca-ES"/>
        </w:rPr>
        <w:t>l’assumpte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Solange I, el TJUE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va mantenir i reafirmar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que:</w:t>
      </w:r>
    </w:p>
    <w:p w14:paraId="0C48DD22" w14:textId="4C257B91" w:rsidR="00561CC5" w:rsidRPr="004E1A4F" w:rsidRDefault="00561CC5" w:rsidP="008C6BAE">
      <w:pPr>
        <w:pStyle w:val="Pargrafdellista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el </w:t>
      </w:r>
      <w:r w:rsidR="004E1A4F"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respecte als drets fonamentals forma part integral dels principis generals del dret de la </w:t>
      </w: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 UE.</w:t>
      </w:r>
    </w:p>
    <w:p w14:paraId="66916CCB" w14:textId="257A0753" w:rsidR="00561CC5" w:rsidRPr="002601EC" w:rsidRDefault="00561CC5" w:rsidP="008C6BAE">
      <w:pPr>
        <w:pStyle w:val="Pargrafdellista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legislació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nacional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pot ser un “ paràmetre de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control" del d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ret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la UE.</w:t>
      </w:r>
    </w:p>
    <w:p w14:paraId="5F2B675A" w14:textId="4E168AFD" w:rsidR="00561CC5" w:rsidRPr="002601EC" w:rsidRDefault="00561CC5" w:rsidP="008C6BAE">
      <w:pPr>
        <w:pStyle w:val="Pargrafdellista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el d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ret de l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a UE no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és una font de dret independent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7C5E565D" w14:textId="09FE03EA" w:rsidR="00561CC5" w:rsidRPr="002601EC" w:rsidRDefault="00561CC5" w:rsidP="008C6BAE">
      <w:pPr>
        <w:pStyle w:val="Pargrafdellista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el cont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ingut del dret de la UE està 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exclusivament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determinat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pel cont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ingut de les legislacions nacionals dels Estats membres.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4A243B53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2FEBF1EE" w14:textId="11DCA4A9" w:rsidR="00561CC5" w:rsidRPr="002601EC" w:rsidRDefault="002F40F0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9.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Determinats drets garantits per la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només son aplicables als ciutadans de la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UE.</w:t>
      </w:r>
    </w:p>
    <w:p w14:paraId="09ACF787" w14:textId="58A59DDE" w:rsidR="00561CC5" w:rsidRPr="004E1A4F" w:rsidRDefault="00561CC5" w:rsidP="008C6BAE">
      <w:pPr>
        <w:pStyle w:val="Pargrafdellista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Verdader</w:t>
      </w:r>
    </w:p>
    <w:p w14:paraId="6F51B0F1" w14:textId="64A62982" w:rsidR="00561CC5" w:rsidRPr="002601EC" w:rsidRDefault="00561CC5" w:rsidP="008C6BAE">
      <w:pPr>
        <w:pStyle w:val="Pargrafdellista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Fals</w:t>
      </w:r>
    </w:p>
    <w:p w14:paraId="2BFDF45B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7AD0C8C1" w14:textId="77777777" w:rsidR="004E1A4F" w:rsidRDefault="002F40F0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10.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To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ts els drets garantits per la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estan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su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bjectes a especificació en les legislacions nacionals dels Estats membres ,</w:t>
      </w:r>
      <w:proofErr w:type="spellStart"/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i,per</w:t>
      </w:r>
      <w:proofErr w:type="spellEnd"/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tant, també es troben subjectes a la limitació del seu abast.</w:t>
      </w:r>
    </w:p>
    <w:p w14:paraId="30E713A2" w14:textId="36B28149" w:rsidR="00561CC5" w:rsidRPr="002601EC" w:rsidRDefault="00561CC5" w:rsidP="008C6BAE">
      <w:pPr>
        <w:pStyle w:val="Pargrafdellista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Verdader</w:t>
      </w:r>
    </w:p>
    <w:p w14:paraId="45E0259F" w14:textId="33C60D67" w:rsidR="00561CC5" w:rsidRPr="004E1A4F" w:rsidRDefault="00561CC5" w:rsidP="002136D5">
      <w:pPr>
        <w:pStyle w:val="Pargrafdellista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Fals</w:t>
      </w:r>
    </w:p>
    <w:p w14:paraId="5F21CCB5" w14:textId="53FF9C89" w:rsidR="00561CC5" w:rsidRPr="002601EC" w:rsidRDefault="002F40F0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lastRenderedPageBreak/>
        <w:t>11.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El d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ret a la vida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privada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i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familiar seg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ons l’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art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icle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7 de la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és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un d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ret absolut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2EB721A8" w14:textId="10252630" w:rsidR="00561CC5" w:rsidRPr="002601EC" w:rsidRDefault="00561CC5" w:rsidP="008C6BAE">
      <w:pPr>
        <w:pStyle w:val="Pargrafdellista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Verdader</w:t>
      </w:r>
    </w:p>
    <w:p w14:paraId="1D36519E" w14:textId="7C36C0EC" w:rsidR="00561CC5" w:rsidRPr="004E1A4F" w:rsidRDefault="00561CC5" w:rsidP="008C6BAE">
      <w:pPr>
        <w:pStyle w:val="Pargrafdellista"/>
        <w:numPr>
          <w:ilvl w:val="0"/>
          <w:numId w:val="12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Fals</w:t>
      </w:r>
    </w:p>
    <w:p w14:paraId="47E5D837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5E56A6A9" w14:textId="12270176" w:rsidR="00561CC5" w:rsidRPr="002601EC" w:rsidRDefault="002F40F0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12.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prohibició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la tortura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segon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s l’article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4 de la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és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un d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ret absolut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3D447CF5" w14:textId="7D6FC9C1" w:rsidR="00561CC5" w:rsidRPr="004E1A4F" w:rsidRDefault="00561CC5" w:rsidP="008C6BAE">
      <w:pPr>
        <w:pStyle w:val="Pargrafdellista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Verdader</w:t>
      </w:r>
    </w:p>
    <w:p w14:paraId="05AC1E79" w14:textId="449BF2AA" w:rsidR="00561CC5" w:rsidRPr="002601EC" w:rsidRDefault="00561CC5" w:rsidP="008C6BAE">
      <w:pPr>
        <w:pStyle w:val="Pargrafdellista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Fals</w:t>
      </w:r>
    </w:p>
    <w:p w14:paraId="3719B870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603A1E66" w14:textId="0FFE7C70" w:rsidR="00561CC5" w:rsidRPr="002601EC" w:rsidRDefault="002F40F0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13.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supremacia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del d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ret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de la UE implica:</w:t>
      </w:r>
    </w:p>
    <w:p w14:paraId="30AD14BC" w14:textId="4014C834" w:rsidR="00561CC5" w:rsidRPr="002601EC" w:rsidRDefault="00561CC5" w:rsidP="008C6BAE">
      <w:pPr>
        <w:pStyle w:val="Pargrafdellista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4E1A4F" w:rsidRPr="002601EC">
        <w:rPr>
          <w:rFonts w:asciiTheme="minorHAnsi" w:hAnsiTheme="minorHAnsi" w:cstheme="minorHAnsi"/>
          <w:sz w:val="22"/>
          <w:szCs w:val="22"/>
          <w:lang w:val="ca-ES"/>
        </w:rPr>
        <w:t>possibilitat</w:t>
      </w:r>
      <w:r w:rsidR="008C5DB3" w:rsidRPr="002601EC">
        <w:rPr>
          <w:rFonts w:asciiTheme="minorHAnsi" w:hAnsiTheme="minorHAnsi" w:cstheme="minorHAnsi"/>
          <w:color w:val="FF0000"/>
          <w:sz w:val="22"/>
          <w:szCs w:val="22"/>
          <w:lang w:val="ca-ES"/>
        </w:rPr>
        <w:t xml:space="preserve">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de invocar sempre el d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ret de la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UE en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procediments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davant un  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ribunal nacional.</w:t>
      </w:r>
    </w:p>
    <w:p w14:paraId="7891F465" w14:textId="5FFF8A5D" w:rsidR="00561CC5" w:rsidRPr="002601EC" w:rsidRDefault="00561CC5" w:rsidP="008C6BAE">
      <w:pPr>
        <w:pStyle w:val="Pargrafdellista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4E1A4F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jurisdicció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absoluta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ratione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materiae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del TJUE.</w:t>
      </w:r>
    </w:p>
    <w:p w14:paraId="1A9480E8" w14:textId="4A51BB8B" w:rsidR="00561CC5" w:rsidRPr="002601EC" w:rsidRDefault="00561CC5" w:rsidP="008C6BAE">
      <w:pPr>
        <w:pStyle w:val="Pargrafdellista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color w:val="70AD47" w:themeColor="accent6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El </w:t>
      </w:r>
      <w:r w:rsidR="004E1A4F"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fet que el dret de la UE prevalgui sobre la legislació nacional en situació de conflicte</w:t>
      </w:r>
      <w:r w:rsidR="004E1A4F">
        <w:rPr>
          <w:rFonts w:asciiTheme="minorHAnsi" w:hAnsiTheme="minorHAnsi" w:cstheme="minorHAnsi"/>
          <w:color w:val="70AD47" w:themeColor="accent6"/>
          <w:sz w:val="22"/>
          <w:szCs w:val="22"/>
          <w:lang w:val="ca-ES"/>
        </w:rPr>
        <w:t>.</w:t>
      </w:r>
    </w:p>
    <w:p w14:paraId="074D491C" w14:textId="3FA09094" w:rsidR="00561CC5" w:rsidRPr="002601EC" w:rsidRDefault="00561CC5" w:rsidP="008C6BAE">
      <w:pPr>
        <w:pStyle w:val="Pargrafdellista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pèrdua de sobirania dels Estats membres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3AFA749D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1F9DDAAC" w14:textId="0D8B6F72" w:rsidR="00561CC5" w:rsidRPr="002601EC" w:rsidRDefault="002F40F0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14.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En </w:t>
      </w:r>
      <w:r w:rsidR="007F32D8">
        <w:rPr>
          <w:rFonts w:asciiTheme="minorHAnsi" w:hAnsiTheme="minorHAnsi" w:cstheme="minorHAnsi"/>
          <w:color w:val="000000"/>
          <w:sz w:val="22"/>
          <w:szCs w:val="22"/>
          <w:lang w:val="ca-ES"/>
        </w:rPr>
        <w:t>l’assumpte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proofErr w:type="spellStart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Åklagaren</w:t>
      </w:r>
      <w:proofErr w:type="spellEnd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v. Hans </w:t>
      </w:r>
      <w:proofErr w:type="spellStart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Åkerberg</w:t>
      </w:r>
      <w:proofErr w:type="spellEnd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proofErr w:type="spellStart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Fransson</w:t>
      </w:r>
      <w:proofErr w:type="spellEnd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, el TJUE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va dictaminar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que:</w:t>
      </w:r>
    </w:p>
    <w:p w14:paraId="05DAABD0" w14:textId="5F5B45E9" w:rsidR="00561CC5" w:rsidRPr="004E1A4F" w:rsidRDefault="00561CC5" w:rsidP="008C6BAE">
      <w:pPr>
        <w:pStyle w:val="Pargrafdellista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El </w:t>
      </w:r>
      <w:r w:rsidR="004E1A4F"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nivell</w:t>
      </w: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de protecció</w:t>
      </w:r>
      <w:r w:rsidR="004E1A4F"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dels drets humans de la </w:t>
      </w: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UE </w:t>
      </w:r>
      <w:r w:rsidR="004E1A4F"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només es qüestiona en situacions regulades pel dret de la</w:t>
      </w:r>
      <w:r w:rsidRPr="004E1A4F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UE.</w:t>
      </w:r>
    </w:p>
    <w:p w14:paraId="1D775B3E" w14:textId="439EBFC8" w:rsidR="00561CC5" w:rsidRPr="002601EC" w:rsidRDefault="00561CC5" w:rsidP="008C6BAE">
      <w:pPr>
        <w:pStyle w:val="Pargrafdellista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El principi  “n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on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bis in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idem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” no forma part del d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>ret d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 la UE.</w:t>
      </w:r>
    </w:p>
    <w:p w14:paraId="5F88FDCB" w14:textId="5A3E4D3A" w:rsidR="00561CC5" w:rsidRPr="002601EC" w:rsidRDefault="00561CC5" w:rsidP="008C6BAE">
      <w:pPr>
        <w:pStyle w:val="Pargrafdellista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El principi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“n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on 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bis in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idem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” no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es pot invocar en situacions d’evasió fiscal. </w:t>
      </w:r>
    </w:p>
    <w:p w14:paraId="528A32F6" w14:textId="616FC396" w:rsidR="00561CC5" w:rsidRPr="002601EC" w:rsidRDefault="00561CC5" w:rsidP="008C6BAE">
      <w:pPr>
        <w:pStyle w:val="Pargrafdellista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El TJUE no </w:t>
      </w:r>
      <w:r w:rsidR="004E1A4F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disposa de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jurisdicció en a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ssumptes penals. </w:t>
      </w:r>
    </w:p>
    <w:p w14:paraId="1AD1D8BE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3A58C2D8" w14:textId="7661EBF5" w:rsidR="00561CC5" w:rsidRPr="002601EC" w:rsidRDefault="004F177C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15.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Els drets garantits per la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poden  estat subjectes a limitacions, sempre que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proofErr w:type="spellStart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que</w:t>
      </w:r>
      <w:proofErr w:type="spellEnd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:</w:t>
      </w:r>
    </w:p>
    <w:p w14:paraId="7A37A2B8" w14:textId="18062EF5" w:rsidR="00561CC5" w:rsidRPr="002601EC" w:rsidRDefault="00790BF7" w:rsidP="008C6BAE">
      <w:pPr>
        <w:pStyle w:val="Pargrafdellista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Aquesta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limitació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estigui contemplada pel Dret derivat de la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UE.</w:t>
      </w:r>
    </w:p>
    <w:p w14:paraId="64EED6CB" w14:textId="6904E044" w:rsidR="00561CC5" w:rsidRPr="002601EC" w:rsidRDefault="00790BF7" w:rsidP="008C6BAE">
      <w:pPr>
        <w:pStyle w:val="Pargrafdellista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color w:val="70AD47" w:themeColor="accent6"/>
          <w:sz w:val="22"/>
          <w:szCs w:val="22"/>
          <w:lang w:val="ca-ES"/>
        </w:rPr>
      </w:pPr>
      <w:r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Aquesta limitació estigui contemplada en la llei, sigui necessària i es correspongui a un objectiu de interès general</w:t>
      </w:r>
      <w:r>
        <w:rPr>
          <w:rFonts w:asciiTheme="minorHAnsi" w:hAnsiTheme="minorHAnsi" w:cstheme="minorHAnsi"/>
          <w:color w:val="70AD47" w:themeColor="accent6"/>
          <w:sz w:val="22"/>
          <w:szCs w:val="22"/>
          <w:lang w:val="ca-ES"/>
        </w:rPr>
        <w:t xml:space="preserve">. </w:t>
      </w:r>
    </w:p>
    <w:p w14:paraId="2A9749E5" w14:textId="77777777" w:rsidR="00790BF7" w:rsidRDefault="00790BF7" w:rsidP="00C32F00">
      <w:pPr>
        <w:pStyle w:val="Pargrafdellista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Aquesta limitació s’ajusti al principi de proporcionalitat. </w:t>
      </w:r>
    </w:p>
    <w:p w14:paraId="7F943091" w14:textId="1A419D46" w:rsidR="00561CC5" w:rsidRPr="00790BF7" w:rsidRDefault="00790BF7" w:rsidP="00C32F00">
      <w:pPr>
        <w:pStyle w:val="Pargrafdellista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Aquesta </w:t>
      </w:r>
      <w:r w:rsidRP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>limitació</w:t>
      </w:r>
      <w:r w:rsidR="00561CC5" w:rsidRP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estigui aprovada </w:t>
      </w:r>
      <w:r w:rsidR="00561CC5" w:rsidRP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>a priori por la UE.</w:t>
      </w:r>
    </w:p>
    <w:p w14:paraId="731834B1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02AA5A9F" w14:textId="28EBAB04" w:rsidR="00561CC5" w:rsidRPr="002601EC" w:rsidRDefault="004F177C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16.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Quin  seria l’efecte pràctic de l’adhesió de la </w:t>
      </w:r>
      <w:proofErr w:type="spellStart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la</w:t>
      </w:r>
      <w:proofErr w:type="spellEnd"/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UE al CEDH ("Convenció")?</w:t>
      </w:r>
    </w:p>
    <w:p w14:paraId="5C634407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67359836" w14:textId="511B14B7" w:rsidR="00561CC5" w:rsidRPr="002601EC" w:rsidRDefault="00561CC5" w:rsidP="008C6BAE">
      <w:pPr>
        <w:pStyle w:val="Pargrafdellista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UE 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i els seus òrgans estarien obligats 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790BF7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respectar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i observar els drets garantits per la </w:t>
      </w:r>
      <w:proofErr w:type="spellStart"/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>Convenció,peró</w:t>
      </w:r>
      <w:proofErr w:type="spellEnd"/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les seves accions no  estaran subjectes a la revisió judicial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del TEDH.</w:t>
      </w:r>
    </w:p>
    <w:p w14:paraId="77527DC6" w14:textId="77777777" w:rsidR="00790BF7" w:rsidRDefault="00561CC5" w:rsidP="008C6BAE">
      <w:pPr>
        <w:pStyle w:val="Pargrafdellista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La UE </w:t>
      </w:r>
      <w:r w:rsid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i els seus òrgans estarien obligats a respectar i observar els drets garantits per la Convenció.</w:t>
      </w:r>
    </w:p>
    <w:p w14:paraId="55C08F41" w14:textId="77D6CFFF" w:rsidR="00561CC5" w:rsidRPr="002601EC" w:rsidRDefault="00561CC5" w:rsidP="008C6BAE">
      <w:pPr>
        <w:pStyle w:val="Pargrafdellista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>’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adhesió de la UE a la Convenció no t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indrà efecte en la protecció dels drets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humans.</w:t>
      </w:r>
    </w:p>
    <w:p w14:paraId="7BB4137B" w14:textId="0D1A9503" w:rsidR="00561CC5" w:rsidRPr="002601EC" w:rsidRDefault="00561CC5" w:rsidP="008C6BAE">
      <w:pPr>
        <w:pStyle w:val="Pargrafdellista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>’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adhesió de la UE a la </w:t>
      </w:r>
      <w:r w:rsidR="00790BF7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Convenció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790BF7" w:rsidRPr="002601EC">
        <w:rPr>
          <w:rFonts w:asciiTheme="minorHAnsi" w:hAnsiTheme="minorHAnsi" w:cstheme="minorHAnsi"/>
          <w:sz w:val="22"/>
          <w:szCs w:val="22"/>
          <w:lang w:val="ca-ES"/>
        </w:rPr>
        <w:t>t</w:t>
      </w:r>
      <w:r w:rsidR="00790BF7">
        <w:rPr>
          <w:rFonts w:asciiTheme="minorHAnsi" w:hAnsiTheme="minorHAnsi" w:cstheme="minorHAnsi"/>
          <w:sz w:val="22"/>
          <w:szCs w:val="22"/>
          <w:lang w:val="ca-ES"/>
        </w:rPr>
        <w:t>in</w:t>
      </w:r>
      <w:r w:rsidR="00790BF7" w:rsidRPr="002601EC">
        <w:rPr>
          <w:rFonts w:asciiTheme="minorHAnsi" w:hAnsiTheme="minorHAnsi" w:cstheme="minorHAnsi"/>
          <w:sz w:val="22"/>
          <w:szCs w:val="22"/>
          <w:lang w:val="ca-ES"/>
        </w:rPr>
        <w:t>drà</w:t>
      </w:r>
      <w:r w:rsidR="00663CCB" w:rsidRPr="002601EC">
        <w:rPr>
          <w:rFonts w:asciiTheme="minorHAnsi" w:hAnsiTheme="minorHAnsi" w:cstheme="minorHAnsi"/>
          <w:sz w:val="22"/>
          <w:szCs w:val="22"/>
          <w:lang w:val="ca-ES"/>
        </w:rPr>
        <w:t xml:space="preserve"> com</w:t>
      </w:r>
      <w:r w:rsidR="00790BF7">
        <w:rPr>
          <w:rFonts w:asciiTheme="minorHAnsi" w:hAnsiTheme="minorHAnsi" w:cstheme="minorHAnsi"/>
          <w:sz w:val="22"/>
          <w:szCs w:val="22"/>
          <w:lang w:val="ca-ES"/>
        </w:rPr>
        <w:t xml:space="preserve"> a </w:t>
      </w:r>
      <w:r w:rsidR="00663CCB" w:rsidRPr="002601EC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790BF7" w:rsidRPr="002601EC">
        <w:rPr>
          <w:rFonts w:asciiTheme="minorHAnsi" w:hAnsiTheme="minorHAnsi" w:cstheme="minorHAnsi"/>
          <w:sz w:val="22"/>
          <w:szCs w:val="22"/>
          <w:lang w:val="ca-ES"/>
        </w:rPr>
        <w:t>conseqüència</w:t>
      </w:r>
      <w:r w:rsidR="00663CCB" w:rsidRPr="002601EC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790BF7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irrellevància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la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465C57FC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52D007EA" w14:textId="0A3104D9" w:rsidR="00561CC5" w:rsidRPr="002601EC" w:rsidRDefault="004F177C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17.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Els drets consagrats en la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CEDH (Convenció):</w:t>
      </w:r>
    </w:p>
    <w:p w14:paraId="11CC709B" w14:textId="507E755A" w:rsidR="00561CC5" w:rsidRPr="002601EC" w:rsidRDefault="00561CC5" w:rsidP="008C6BAE">
      <w:pPr>
        <w:pStyle w:val="Pargrafdellista"/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N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o formen part dels principis generals del dret de la UE </w:t>
      </w:r>
    </w:p>
    <w:p w14:paraId="450454E8" w14:textId="54DAD434" w:rsidR="00561CC5" w:rsidRPr="002601EC" w:rsidRDefault="00561CC5" w:rsidP="008C6BAE">
      <w:pPr>
        <w:pStyle w:val="Pargrafdellista"/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No t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>enen relació  amb la protecció dels drets humans dintre del  dret de la UE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</w:p>
    <w:p w14:paraId="1B52CFE7" w14:textId="48B1F346" w:rsidR="00561CC5" w:rsidRPr="00790BF7" w:rsidRDefault="00790BF7" w:rsidP="008C6BAE">
      <w:pPr>
        <w:pStyle w:val="Pargrafdellista"/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Fixen </w:t>
      </w:r>
      <w:r w:rsidR="00561CC5"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un "</w:t>
      </w:r>
      <w:proofErr w:type="spellStart"/>
      <w:r w:rsidR="00561CC5"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estándar</w:t>
      </w:r>
      <w:proofErr w:type="spellEnd"/>
      <w:r w:rsidR="00561CC5"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mínim de </w:t>
      </w:r>
      <w:r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protecció</w:t>
      </w:r>
      <w:r w:rsidR="00561CC5"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" d</w:t>
      </w:r>
      <w:r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intre de la </w:t>
      </w:r>
      <w:r w:rsidR="00561CC5"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</w:t>
      </w:r>
      <w:r w:rsidR="002F40F0"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CDF</w:t>
      </w:r>
      <w:r w:rsidR="00561CC5"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</w:t>
      </w:r>
      <w:r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i el dret de la </w:t>
      </w:r>
      <w:r w:rsidR="00561CC5" w:rsidRPr="00790BF7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UE.</w:t>
      </w:r>
    </w:p>
    <w:p w14:paraId="09E79FD5" w14:textId="3F19CC8C" w:rsidR="00561CC5" w:rsidRPr="002601EC" w:rsidRDefault="00790BF7" w:rsidP="008C6BAE">
      <w:pPr>
        <w:pStyle w:val="Pargrafdellista"/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Corresponen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plenament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a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ls drets protegits per la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15EB5DF6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35FA8E82" w14:textId="2B23A936" w:rsidR="00561CC5" w:rsidRPr="002601EC" w:rsidRDefault="004F177C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18.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En un 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>assumpte relacionat amb la protecció dels drets fonamentals, l’advocat ha de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:</w:t>
      </w:r>
    </w:p>
    <w:p w14:paraId="6839F255" w14:textId="071747B5" w:rsidR="00561CC5" w:rsidRPr="002601EC" w:rsidRDefault="00561CC5" w:rsidP="008C6BAE">
      <w:pPr>
        <w:pStyle w:val="Pargrafdellista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Determinar </w:t>
      </w:r>
      <w:r w:rsidR="00790BF7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i triar si el cas del  client recau exclusivament en la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2F40F0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CDF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o en la </w:t>
      </w:r>
      <w:r w:rsidR="00790BF7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protecció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del CEDH (Convenció).</w:t>
      </w:r>
    </w:p>
    <w:p w14:paraId="6EEE95D4" w14:textId="772F556A" w:rsidR="00561CC5" w:rsidRPr="00492BB9" w:rsidRDefault="00790BF7" w:rsidP="008C6BAE">
      <w:pPr>
        <w:pStyle w:val="Pargrafdellista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Av</w:t>
      </w:r>
      <w:r w:rsidR="00561CC5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aluar la </w:t>
      </w: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possible</w:t>
      </w:r>
      <w:r w:rsidR="00561CC5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</w:t>
      </w: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aplicabilitat</w:t>
      </w:r>
      <w:r w:rsidR="00561CC5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</w:t>
      </w:r>
      <w:r w:rsidR="00492BB9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d’ambdós</w:t>
      </w: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sistemes de </w:t>
      </w:r>
      <w:r w:rsidR="00561CC5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</w:t>
      </w: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protecció</w:t>
      </w:r>
      <w:r w:rsidR="00561CC5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d</w:t>
      </w: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els drets humans </w:t>
      </w:r>
      <w:r w:rsidR="00492BB9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al </w:t>
      </w:r>
      <w:r w:rsidR="007F32D8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supòsit</w:t>
      </w:r>
      <w:r w:rsidR="00492BB9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i triar la millor via de defensa per al seu client. </w:t>
      </w:r>
    </w:p>
    <w:p w14:paraId="035E988C" w14:textId="4852C063" w:rsidR="00561CC5" w:rsidRPr="002601EC" w:rsidRDefault="00561CC5" w:rsidP="008C6BAE">
      <w:pPr>
        <w:pStyle w:val="Pargrafdellista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Confiar </w:t>
      </w:r>
      <w:r w:rsidR="00492BB9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plenament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en la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pressa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</w:t>
      </w:r>
      <w:r w:rsidR="00492BB9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decisions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’un  jutge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nacional (en base al principi de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iura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novit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curia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).</w:t>
      </w:r>
    </w:p>
    <w:p w14:paraId="58D56C5B" w14:textId="57773C94" w:rsidR="00561CC5" w:rsidRPr="002601EC" w:rsidRDefault="00561CC5" w:rsidP="008C6BAE">
      <w:pPr>
        <w:pStyle w:val="Pargrafdellista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Confiar </w:t>
      </w:r>
      <w:r w:rsidR="00492BB9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únicament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en el </w:t>
      </w:r>
      <w:r w:rsidR="00492BB9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niv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>ell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nacional de </w:t>
      </w:r>
      <w:r w:rsidR="00492BB9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protecció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ls drets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humans.</w:t>
      </w:r>
    </w:p>
    <w:p w14:paraId="0EAAB262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5C0D8AF8" w14:textId="2C5BCB48" w:rsidR="00561CC5" w:rsidRPr="002601EC" w:rsidRDefault="004F177C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19.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>Els jutges nacionals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:</w:t>
      </w:r>
    </w:p>
    <w:p w14:paraId="0E994674" w14:textId="2F3A3E4E" w:rsidR="00561CC5" w:rsidRPr="002601EC" w:rsidRDefault="00492BB9" w:rsidP="008C6BAE">
      <w:pPr>
        <w:pStyle w:val="Pargrafdellista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Han  de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interpretar la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legislació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nacional d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>’acord amb el  dret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la UE.</w:t>
      </w:r>
    </w:p>
    <w:p w14:paraId="48C54D13" w14:textId="59098DE2" w:rsidR="00561CC5" w:rsidRPr="002601EC" w:rsidRDefault="00492BB9" w:rsidP="008C6BAE">
      <w:pPr>
        <w:pStyle w:val="Pargrafdellista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Han de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interpretar la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legislació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nacional d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’acord amb el  dret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la UE,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però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només si aquesta interpretació  ja deriva de la jurisprudència 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existent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del TJUE.</w:t>
      </w:r>
    </w:p>
    <w:p w14:paraId="03AC8DF8" w14:textId="78BD614F" w:rsidR="00561CC5" w:rsidRPr="00492BB9" w:rsidRDefault="00492BB9" w:rsidP="008C6BAE">
      <w:pPr>
        <w:pStyle w:val="Pargrafdellista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Poden i, en  algunes situacions, han  de plantejar una qüestió de resolució prejudicial </w:t>
      </w:r>
      <w:r w:rsidR="00561CC5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al TJUE si la </w:t>
      </w: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>interpretació</w:t>
      </w:r>
      <w:r w:rsidR="00561CC5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d</w:t>
      </w: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’un  assumpte dintre de l’àmbit del dret de la UE no és </w:t>
      </w:r>
      <w:r w:rsidR="00561CC5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clara.</w:t>
      </w:r>
    </w:p>
    <w:p w14:paraId="59F2AF9E" w14:textId="08021D91" w:rsidR="00561CC5" w:rsidRPr="002601EC" w:rsidRDefault="00492BB9" w:rsidP="008C6BAE">
      <w:pPr>
        <w:pStyle w:val="Pargrafdellista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Sempre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>dispose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n de plena </w:t>
      </w:r>
      <w:r w:rsidRPr="002601EC">
        <w:rPr>
          <w:rFonts w:asciiTheme="minorHAnsi" w:hAnsiTheme="minorHAnsi" w:cstheme="minorHAnsi"/>
          <w:sz w:val="22"/>
          <w:szCs w:val="22"/>
          <w:lang w:val="ca-ES"/>
        </w:rPr>
        <w:t>discrecionalitat</w:t>
      </w:r>
      <w:r w:rsidR="00663CCB" w:rsidRPr="002601EC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en </w:t>
      </w:r>
      <w:r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les seves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deliberacions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4E4833A3" w14:textId="77777777" w:rsidR="00561CC5" w:rsidRPr="002601EC" w:rsidRDefault="00561CC5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539168B4" w14:textId="05ECE1BC" w:rsidR="00561CC5" w:rsidRPr="002601EC" w:rsidRDefault="004F177C" w:rsidP="00561CC5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20.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L’expressió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“instrument vi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>u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” 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es refereix a </w:t>
      </w:r>
      <w:r w:rsidR="00561CC5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a:</w:t>
      </w:r>
    </w:p>
    <w:p w14:paraId="0C6A9B88" w14:textId="3329E0A2" w:rsidR="00561CC5" w:rsidRPr="002601EC" w:rsidRDefault="00561CC5" w:rsidP="008C6BAE">
      <w:pPr>
        <w:pStyle w:val="Pargrafdellista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proofErr w:type="spellStart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renegociació</w:t>
      </w:r>
      <w:proofErr w:type="spellEnd"/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convencions </w:t>
      </w:r>
      <w:r w:rsidR="00492BB9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prèviament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adoptad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>e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s 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pels estats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7B41A4C2" w14:textId="4ABDE65D" w:rsidR="00561CC5" w:rsidRPr="002601EC" w:rsidRDefault="00561CC5" w:rsidP="008C6BAE">
      <w:pPr>
        <w:pStyle w:val="Pargrafdellista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forma de </w:t>
      </w:r>
      <w:r w:rsidR="00492BB9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interpretació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la </w:t>
      </w:r>
      <w:r w:rsidR="00492BB9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legislació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secund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>à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ria de la UE.</w:t>
      </w:r>
    </w:p>
    <w:p w14:paraId="4F380449" w14:textId="20E79E74" w:rsidR="00561CC5" w:rsidRPr="002601EC" w:rsidRDefault="00561CC5" w:rsidP="008C6BAE">
      <w:pPr>
        <w:pStyle w:val="Pargrafdellista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</w:t>
      </w:r>
      <w:r w:rsidR="00492BB9"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interpretació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de to</w:t>
      </w:r>
      <w:r w:rsidR="00492BB9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ts els actes de </w:t>
      </w:r>
      <w:r w:rsidRPr="002601EC">
        <w:rPr>
          <w:rFonts w:asciiTheme="minorHAnsi" w:hAnsiTheme="minorHAnsi" w:cstheme="minorHAnsi"/>
          <w:color w:val="000000"/>
          <w:sz w:val="22"/>
          <w:szCs w:val="22"/>
          <w:lang w:val="ca-ES"/>
        </w:rPr>
        <w:t>la UE.</w:t>
      </w:r>
    </w:p>
    <w:p w14:paraId="6514892D" w14:textId="3B28E3C4" w:rsidR="00E712E3" w:rsidRPr="00492BB9" w:rsidRDefault="00561CC5" w:rsidP="002B58DD">
      <w:pPr>
        <w:pStyle w:val="Pargrafdellista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</w:pPr>
      <w:r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El </w:t>
      </w:r>
      <w:r w:rsidR="00492BB9" w:rsidRPr="00492BB9">
        <w:rPr>
          <w:rFonts w:asciiTheme="minorHAnsi" w:hAnsiTheme="minorHAnsi" w:cstheme="minorHAnsi"/>
          <w:color w:val="538135" w:themeColor="accent6" w:themeShade="BF"/>
          <w:sz w:val="22"/>
          <w:szCs w:val="22"/>
          <w:lang w:val="ca-ES"/>
        </w:rPr>
        <w:t xml:space="preserve"> fet que els drets no  indicats explícitament en els documents de drets humans també  poden tenir cobertura, sempre que el document sigui interpretat a la llum de les condicions actuals</w:t>
      </w:r>
    </w:p>
    <w:sectPr w:rsidR="00E712E3" w:rsidRPr="00492BB9">
      <w:headerReference w:type="default" r:id="rId11"/>
      <w:footerReference w:type="even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F074" w14:textId="77777777" w:rsidR="000A4F6C" w:rsidRDefault="000A4F6C" w:rsidP="00EC2273">
      <w:r>
        <w:separator/>
      </w:r>
    </w:p>
  </w:endnote>
  <w:endnote w:type="continuationSeparator" w:id="0">
    <w:p w14:paraId="6E7098A5" w14:textId="77777777" w:rsidR="000A4F6C" w:rsidRDefault="000A4F6C" w:rsidP="00EC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5891573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FC2F4D" w14:textId="77777777" w:rsidR="00E712E3" w:rsidRDefault="00AC50A8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0AF5BC3" w14:textId="77777777" w:rsidR="00321E09" w:rsidRDefault="00321E09" w:rsidP="00101A66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6042268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E3513A7" w14:textId="77777777" w:rsidR="00E712E3" w:rsidRDefault="00AC50A8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278B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53FF477" w14:textId="77777777" w:rsidR="00321E09" w:rsidRDefault="00321E09" w:rsidP="00101A66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F59C" w14:textId="77777777" w:rsidR="000A4F6C" w:rsidRDefault="000A4F6C" w:rsidP="00EC2273">
      <w:r>
        <w:separator/>
      </w:r>
    </w:p>
  </w:footnote>
  <w:footnote w:type="continuationSeparator" w:id="0">
    <w:p w14:paraId="64B5E33D" w14:textId="77777777" w:rsidR="000A4F6C" w:rsidRDefault="000A4F6C" w:rsidP="00EC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6C61" w14:textId="77777777" w:rsidR="00010B27" w:rsidRPr="00010B27" w:rsidRDefault="00010B27">
    <w:pPr>
      <w:pStyle w:val="Capalera"/>
      <w:rPr>
        <w:rFonts w:ascii="Aptos" w:hAnsi="Aptos"/>
      </w:rPr>
    </w:pPr>
    <w:r w:rsidRPr="00010B27">
      <w:rPr>
        <w:rFonts w:ascii="Aptos" w:hAnsi="Aptos"/>
        <w:noProof/>
        <w:lang w:eastAsia="es-ES"/>
        <w14:ligatures w14:val="standardContextual"/>
      </w:rPr>
      <w:drawing>
        <wp:inline distT="0" distB="0" distL="0" distR="0" wp14:anchorId="059214B2" wp14:editId="705A2742">
          <wp:extent cx="1773735" cy="556260"/>
          <wp:effectExtent l="0" t="0" r="0" b="0"/>
          <wp:docPr id="1729286322" name="Image 27" descr="Une image contenant texte, Police, Bleu électr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286322" name="Image 27" descr="Une image contenant texte, Police, Bleu électr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345" cy="55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0B27">
      <w:rPr>
        <w:rFonts w:ascii="Aptos" w:hAnsi="Aptos"/>
      </w:rPr>
      <w:ptab w:relativeTo="margin" w:alignment="center" w:leader="none"/>
    </w:r>
    <w:r w:rsidRPr="00010B27">
      <w:rPr>
        <w:rFonts w:ascii="Aptos" w:hAnsi="Aptos"/>
      </w:rPr>
      <w:ptab w:relativeTo="margin" w:alignment="right" w:leader="none"/>
    </w:r>
    <w:r w:rsidRPr="00010B27">
      <w:rPr>
        <w:rFonts w:ascii="Aptos" w:hAnsi="Aptos"/>
        <w:noProof/>
        <w:lang w:eastAsia="es-ES"/>
        <w14:ligatures w14:val="standardContextual"/>
      </w:rPr>
      <w:drawing>
        <wp:inline distT="0" distB="0" distL="0" distR="0" wp14:anchorId="7294C796" wp14:editId="2EE7D7E3">
          <wp:extent cx="908473" cy="563880"/>
          <wp:effectExtent l="0" t="0" r="6350" b="7620"/>
          <wp:docPr id="1144829755" name="Image 29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829755" name="Image 29" descr="Une image contenant texte, Police, Graphique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481" cy="565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239"/>
    <w:multiLevelType w:val="hybridMultilevel"/>
    <w:tmpl w:val="29FABA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1789"/>
    <w:multiLevelType w:val="hybridMultilevel"/>
    <w:tmpl w:val="380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1F40"/>
    <w:multiLevelType w:val="hybridMultilevel"/>
    <w:tmpl w:val="F516C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7AA2"/>
    <w:multiLevelType w:val="hybridMultilevel"/>
    <w:tmpl w:val="37028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4B17"/>
    <w:multiLevelType w:val="hybridMultilevel"/>
    <w:tmpl w:val="7DB4F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42ED"/>
    <w:multiLevelType w:val="hybridMultilevel"/>
    <w:tmpl w:val="A08A6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36F9"/>
    <w:multiLevelType w:val="hybridMultilevel"/>
    <w:tmpl w:val="56068536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7D2942"/>
    <w:multiLevelType w:val="hybridMultilevel"/>
    <w:tmpl w:val="B058C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66CC"/>
    <w:multiLevelType w:val="hybridMultilevel"/>
    <w:tmpl w:val="994A2A6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63810"/>
    <w:multiLevelType w:val="hybridMultilevel"/>
    <w:tmpl w:val="09AA163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814126"/>
    <w:multiLevelType w:val="hybridMultilevel"/>
    <w:tmpl w:val="830E2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0693E"/>
    <w:multiLevelType w:val="hybridMultilevel"/>
    <w:tmpl w:val="D5666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E3CFF"/>
    <w:multiLevelType w:val="hybridMultilevel"/>
    <w:tmpl w:val="0AD27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2B7A"/>
    <w:multiLevelType w:val="hybridMultilevel"/>
    <w:tmpl w:val="8DAA33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6106"/>
    <w:multiLevelType w:val="hybridMultilevel"/>
    <w:tmpl w:val="4502E76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C60965"/>
    <w:multiLevelType w:val="hybridMultilevel"/>
    <w:tmpl w:val="CD3851A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9D4851"/>
    <w:multiLevelType w:val="hybridMultilevel"/>
    <w:tmpl w:val="86362E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83299"/>
    <w:multiLevelType w:val="hybridMultilevel"/>
    <w:tmpl w:val="674E9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E3C69"/>
    <w:multiLevelType w:val="hybridMultilevel"/>
    <w:tmpl w:val="344829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E1865"/>
    <w:multiLevelType w:val="hybridMultilevel"/>
    <w:tmpl w:val="B66821E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F43807"/>
    <w:multiLevelType w:val="hybridMultilevel"/>
    <w:tmpl w:val="4D900A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737845">
    <w:abstractNumId w:val="3"/>
  </w:num>
  <w:num w:numId="2" w16cid:durableId="368263276">
    <w:abstractNumId w:val="19"/>
  </w:num>
  <w:num w:numId="3" w16cid:durableId="255677590">
    <w:abstractNumId w:val="14"/>
  </w:num>
  <w:num w:numId="4" w16cid:durableId="931203647">
    <w:abstractNumId w:val="15"/>
  </w:num>
  <w:num w:numId="5" w16cid:durableId="2113747221">
    <w:abstractNumId w:val="6"/>
  </w:num>
  <w:num w:numId="6" w16cid:durableId="1832410474">
    <w:abstractNumId w:val="8"/>
  </w:num>
  <w:num w:numId="7" w16cid:durableId="1544977693">
    <w:abstractNumId w:val="20"/>
  </w:num>
  <w:num w:numId="8" w16cid:durableId="1214386024">
    <w:abstractNumId w:val="5"/>
  </w:num>
  <w:num w:numId="9" w16cid:durableId="740566227">
    <w:abstractNumId w:val="16"/>
  </w:num>
  <w:num w:numId="10" w16cid:durableId="1898852717">
    <w:abstractNumId w:val="4"/>
  </w:num>
  <w:num w:numId="11" w16cid:durableId="1430925485">
    <w:abstractNumId w:val="1"/>
  </w:num>
  <w:num w:numId="12" w16cid:durableId="330373908">
    <w:abstractNumId w:val="17"/>
  </w:num>
  <w:num w:numId="13" w16cid:durableId="1757163740">
    <w:abstractNumId w:val="13"/>
  </w:num>
  <w:num w:numId="14" w16cid:durableId="321592555">
    <w:abstractNumId w:val="2"/>
  </w:num>
  <w:num w:numId="15" w16cid:durableId="971791952">
    <w:abstractNumId w:val="9"/>
  </w:num>
  <w:num w:numId="16" w16cid:durableId="879586856">
    <w:abstractNumId w:val="7"/>
  </w:num>
  <w:num w:numId="17" w16cid:durableId="2055889874">
    <w:abstractNumId w:val="11"/>
  </w:num>
  <w:num w:numId="18" w16cid:durableId="785276594">
    <w:abstractNumId w:val="10"/>
  </w:num>
  <w:num w:numId="19" w16cid:durableId="2042626414">
    <w:abstractNumId w:val="18"/>
  </w:num>
  <w:num w:numId="20" w16cid:durableId="1538664585">
    <w:abstractNumId w:val="0"/>
  </w:num>
  <w:num w:numId="21" w16cid:durableId="780762164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BD"/>
    <w:rsid w:val="0000203F"/>
    <w:rsid w:val="00003A42"/>
    <w:rsid w:val="00010B27"/>
    <w:rsid w:val="000246A0"/>
    <w:rsid w:val="00041A62"/>
    <w:rsid w:val="00044A89"/>
    <w:rsid w:val="000541A5"/>
    <w:rsid w:val="000639E2"/>
    <w:rsid w:val="00065465"/>
    <w:rsid w:val="0008545D"/>
    <w:rsid w:val="000A3B66"/>
    <w:rsid w:val="000A402F"/>
    <w:rsid w:val="000A4F6C"/>
    <w:rsid w:val="000C16CB"/>
    <w:rsid w:val="000C5AFA"/>
    <w:rsid w:val="000D6AC2"/>
    <w:rsid w:val="000E1801"/>
    <w:rsid w:val="000E441E"/>
    <w:rsid w:val="00101A66"/>
    <w:rsid w:val="00111E17"/>
    <w:rsid w:val="001223F5"/>
    <w:rsid w:val="001302AE"/>
    <w:rsid w:val="0015080D"/>
    <w:rsid w:val="00157B66"/>
    <w:rsid w:val="0017170A"/>
    <w:rsid w:val="00181480"/>
    <w:rsid w:val="00190AD5"/>
    <w:rsid w:val="001B30D4"/>
    <w:rsid w:val="001B3D74"/>
    <w:rsid w:val="001B4D42"/>
    <w:rsid w:val="001B6F7B"/>
    <w:rsid w:val="001C0851"/>
    <w:rsid w:val="001C0D89"/>
    <w:rsid w:val="001D18DC"/>
    <w:rsid w:val="001D2657"/>
    <w:rsid w:val="001E6D6E"/>
    <w:rsid w:val="001F574C"/>
    <w:rsid w:val="0020004F"/>
    <w:rsid w:val="00200E6E"/>
    <w:rsid w:val="00212840"/>
    <w:rsid w:val="00222A0F"/>
    <w:rsid w:val="00243A80"/>
    <w:rsid w:val="00245B7D"/>
    <w:rsid w:val="0025785F"/>
    <w:rsid w:val="002601EC"/>
    <w:rsid w:val="002667C3"/>
    <w:rsid w:val="0027595F"/>
    <w:rsid w:val="00277713"/>
    <w:rsid w:val="002830C0"/>
    <w:rsid w:val="00283692"/>
    <w:rsid w:val="0029203F"/>
    <w:rsid w:val="002946A0"/>
    <w:rsid w:val="002A0BDA"/>
    <w:rsid w:val="002B603D"/>
    <w:rsid w:val="002C16BE"/>
    <w:rsid w:val="002D622D"/>
    <w:rsid w:val="002F2C73"/>
    <w:rsid w:val="002F40F0"/>
    <w:rsid w:val="0030456A"/>
    <w:rsid w:val="00316355"/>
    <w:rsid w:val="00321E09"/>
    <w:rsid w:val="00333711"/>
    <w:rsid w:val="00344BDB"/>
    <w:rsid w:val="00384494"/>
    <w:rsid w:val="00390CC1"/>
    <w:rsid w:val="0039290B"/>
    <w:rsid w:val="00393251"/>
    <w:rsid w:val="003A017C"/>
    <w:rsid w:val="003A537F"/>
    <w:rsid w:val="003C38A3"/>
    <w:rsid w:val="003C4516"/>
    <w:rsid w:val="003C6E94"/>
    <w:rsid w:val="003D5E70"/>
    <w:rsid w:val="003E4902"/>
    <w:rsid w:val="003F3035"/>
    <w:rsid w:val="003F304D"/>
    <w:rsid w:val="004046A5"/>
    <w:rsid w:val="00410864"/>
    <w:rsid w:val="00410A93"/>
    <w:rsid w:val="004333EC"/>
    <w:rsid w:val="00443FBD"/>
    <w:rsid w:val="00467E58"/>
    <w:rsid w:val="0047150D"/>
    <w:rsid w:val="00485D0A"/>
    <w:rsid w:val="0049009B"/>
    <w:rsid w:val="00491D84"/>
    <w:rsid w:val="00492BB9"/>
    <w:rsid w:val="004E1A4F"/>
    <w:rsid w:val="004F177C"/>
    <w:rsid w:val="004F51B6"/>
    <w:rsid w:val="00505929"/>
    <w:rsid w:val="0051115D"/>
    <w:rsid w:val="0051427D"/>
    <w:rsid w:val="00516035"/>
    <w:rsid w:val="00516259"/>
    <w:rsid w:val="00537D03"/>
    <w:rsid w:val="00541513"/>
    <w:rsid w:val="0055322C"/>
    <w:rsid w:val="00560CDB"/>
    <w:rsid w:val="005612A3"/>
    <w:rsid w:val="00561CC5"/>
    <w:rsid w:val="00561E53"/>
    <w:rsid w:val="005647B4"/>
    <w:rsid w:val="00566271"/>
    <w:rsid w:val="0059377D"/>
    <w:rsid w:val="005A2A4C"/>
    <w:rsid w:val="005B219A"/>
    <w:rsid w:val="005C1771"/>
    <w:rsid w:val="005D75E0"/>
    <w:rsid w:val="005F4BDB"/>
    <w:rsid w:val="00600AB8"/>
    <w:rsid w:val="0060556B"/>
    <w:rsid w:val="0061208F"/>
    <w:rsid w:val="00613606"/>
    <w:rsid w:val="00613A66"/>
    <w:rsid w:val="00616814"/>
    <w:rsid w:val="00633C2C"/>
    <w:rsid w:val="00642159"/>
    <w:rsid w:val="00652ECC"/>
    <w:rsid w:val="00662304"/>
    <w:rsid w:val="00663CCB"/>
    <w:rsid w:val="0068525F"/>
    <w:rsid w:val="0069257E"/>
    <w:rsid w:val="00695D8A"/>
    <w:rsid w:val="006A04DB"/>
    <w:rsid w:val="006B119B"/>
    <w:rsid w:val="006B4875"/>
    <w:rsid w:val="006C2C39"/>
    <w:rsid w:val="006E6CEF"/>
    <w:rsid w:val="006F5078"/>
    <w:rsid w:val="007111BE"/>
    <w:rsid w:val="00711728"/>
    <w:rsid w:val="00714895"/>
    <w:rsid w:val="00740BB9"/>
    <w:rsid w:val="00740D71"/>
    <w:rsid w:val="007458BA"/>
    <w:rsid w:val="00745FCF"/>
    <w:rsid w:val="00747C7E"/>
    <w:rsid w:val="00761FF8"/>
    <w:rsid w:val="00762902"/>
    <w:rsid w:val="00764C0A"/>
    <w:rsid w:val="007711F6"/>
    <w:rsid w:val="00771C0C"/>
    <w:rsid w:val="00784097"/>
    <w:rsid w:val="0078587B"/>
    <w:rsid w:val="0078699D"/>
    <w:rsid w:val="00790BF7"/>
    <w:rsid w:val="007B2218"/>
    <w:rsid w:val="007C10F0"/>
    <w:rsid w:val="007D1296"/>
    <w:rsid w:val="007D677E"/>
    <w:rsid w:val="007E150B"/>
    <w:rsid w:val="007E74D6"/>
    <w:rsid w:val="007F1555"/>
    <w:rsid w:val="007F272B"/>
    <w:rsid w:val="007F32D8"/>
    <w:rsid w:val="007F4A7D"/>
    <w:rsid w:val="00815FCB"/>
    <w:rsid w:val="008278BF"/>
    <w:rsid w:val="008669DA"/>
    <w:rsid w:val="00871E9D"/>
    <w:rsid w:val="008817AD"/>
    <w:rsid w:val="008C5DB3"/>
    <w:rsid w:val="008C6BAE"/>
    <w:rsid w:val="008E733D"/>
    <w:rsid w:val="008F1F7C"/>
    <w:rsid w:val="009023CF"/>
    <w:rsid w:val="0093419E"/>
    <w:rsid w:val="0093649B"/>
    <w:rsid w:val="0094362F"/>
    <w:rsid w:val="00946CD8"/>
    <w:rsid w:val="00964A3A"/>
    <w:rsid w:val="00974680"/>
    <w:rsid w:val="00975BA7"/>
    <w:rsid w:val="00976991"/>
    <w:rsid w:val="009B4956"/>
    <w:rsid w:val="009D54F2"/>
    <w:rsid w:val="009E2FCD"/>
    <w:rsid w:val="009F3F7C"/>
    <w:rsid w:val="009F7D3D"/>
    <w:rsid w:val="00A02C7A"/>
    <w:rsid w:val="00A044EB"/>
    <w:rsid w:val="00A278B9"/>
    <w:rsid w:val="00A3435D"/>
    <w:rsid w:val="00A47BFB"/>
    <w:rsid w:val="00A601E0"/>
    <w:rsid w:val="00A70009"/>
    <w:rsid w:val="00A70E0D"/>
    <w:rsid w:val="00A80EFB"/>
    <w:rsid w:val="00A91BC0"/>
    <w:rsid w:val="00A97E5B"/>
    <w:rsid w:val="00AA7252"/>
    <w:rsid w:val="00AB03DF"/>
    <w:rsid w:val="00AB1D0C"/>
    <w:rsid w:val="00AC1D1B"/>
    <w:rsid w:val="00AC3B36"/>
    <w:rsid w:val="00AC50A8"/>
    <w:rsid w:val="00AD6D05"/>
    <w:rsid w:val="00AF709F"/>
    <w:rsid w:val="00B00F38"/>
    <w:rsid w:val="00B039DE"/>
    <w:rsid w:val="00B05272"/>
    <w:rsid w:val="00B126D1"/>
    <w:rsid w:val="00B20C69"/>
    <w:rsid w:val="00B259C1"/>
    <w:rsid w:val="00B26B00"/>
    <w:rsid w:val="00B30305"/>
    <w:rsid w:val="00B52594"/>
    <w:rsid w:val="00B53A2F"/>
    <w:rsid w:val="00B6326F"/>
    <w:rsid w:val="00B768AF"/>
    <w:rsid w:val="00B85AD6"/>
    <w:rsid w:val="00B90012"/>
    <w:rsid w:val="00BA2629"/>
    <w:rsid w:val="00BA6F46"/>
    <w:rsid w:val="00BB2EBA"/>
    <w:rsid w:val="00BB7CA1"/>
    <w:rsid w:val="00BC7D61"/>
    <w:rsid w:val="00BD1349"/>
    <w:rsid w:val="00BD2B1D"/>
    <w:rsid w:val="00BD39D4"/>
    <w:rsid w:val="00BD51DA"/>
    <w:rsid w:val="00BD6A12"/>
    <w:rsid w:val="00C008BC"/>
    <w:rsid w:val="00C1053A"/>
    <w:rsid w:val="00C216B6"/>
    <w:rsid w:val="00C25CFD"/>
    <w:rsid w:val="00C302DB"/>
    <w:rsid w:val="00C35E95"/>
    <w:rsid w:val="00C410BC"/>
    <w:rsid w:val="00C434C9"/>
    <w:rsid w:val="00C65937"/>
    <w:rsid w:val="00C81930"/>
    <w:rsid w:val="00C845C8"/>
    <w:rsid w:val="00C86385"/>
    <w:rsid w:val="00C86D65"/>
    <w:rsid w:val="00CC7B1F"/>
    <w:rsid w:val="00CD0E8E"/>
    <w:rsid w:val="00CD3CA4"/>
    <w:rsid w:val="00CD406C"/>
    <w:rsid w:val="00CD6210"/>
    <w:rsid w:val="00CD6C01"/>
    <w:rsid w:val="00CE3A0F"/>
    <w:rsid w:val="00CE7D8A"/>
    <w:rsid w:val="00D02BC6"/>
    <w:rsid w:val="00D1320E"/>
    <w:rsid w:val="00D15642"/>
    <w:rsid w:val="00D36836"/>
    <w:rsid w:val="00D41484"/>
    <w:rsid w:val="00D45864"/>
    <w:rsid w:val="00D460A6"/>
    <w:rsid w:val="00D621AF"/>
    <w:rsid w:val="00D6700C"/>
    <w:rsid w:val="00D767E4"/>
    <w:rsid w:val="00D86668"/>
    <w:rsid w:val="00D874AC"/>
    <w:rsid w:val="00DA0D8C"/>
    <w:rsid w:val="00DB7DF7"/>
    <w:rsid w:val="00DC593F"/>
    <w:rsid w:val="00DD6D62"/>
    <w:rsid w:val="00DE4323"/>
    <w:rsid w:val="00DE4B24"/>
    <w:rsid w:val="00DF1774"/>
    <w:rsid w:val="00DF66F8"/>
    <w:rsid w:val="00E05B4E"/>
    <w:rsid w:val="00E15CD2"/>
    <w:rsid w:val="00E2392C"/>
    <w:rsid w:val="00E349D7"/>
    <w:rsid w:val="00E5069D"/>
    <w:rsid w:val="00E50C14"/>
    <w:rsid w:val="00E56B36"/>
    <w:rsid w:val="00E57788"/>
    <w:rsid w:val="00E64650"/>
    <w:rsid w:val="00E668D1"/>
    <w:rsid w:val="00E712E3"/>
    <w:rsid w:val="00E7275B"/>
    <w:rsid w:val="00E808D2"/>
    <w:rsid w:val="00E81BD5"/>
    <w:rsid w:val="00E82DBA"/>
    <w:rsid w:val="00E90BDB"/>
    <w:rsid w:val="00EA44CF"/>
    <w:rsid w:val="00EB21D6"/>
    <w:rsid w:val="00EB6665"/>
    <w:rsid w:val="00EC0FCC"/>
    <w:rsid w:val="00EC1B7F"/>
    <w:rsid w:val="00EC2273"/>
    <w:rsid w:val="00ED5086"/>
    <w:rsid w:val="00ED6B1D"/>
    <w:rsid w:val="00EE19E9"/>
    <w:rsid w:val="00EE3A32"/>
    <w:rsid w:val="00EF3796"/>
    <w:rsid w:val="00F01D39"/>
    <w:rsid w:val="00F021F5"/>
    <w:rsid w:val="00F14A8C"/>
    <w:rsid w:val="00F24AEE"/>
    <w:rsid w:val="00F37B27"/>
    <w:rsid w:val="00F43098"/>
    <w:rsid w:val="00F678F5"/>
    <w:rsid w:val="00F70A78"/>
    <w:rsid w:val="00F74EFF"/>
    <w:rsid w:val="00F84124"/>
    <w:rsid w:val="00F943A2"/>
    <w:rsid w:val="00F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8952F"/>
  <w15:chartTrackingRefBased/>
  <w15:docId w15:val="{CBF496D8-2B8E-1941-818E-5ECDE25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71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43FBD"/>
    <w:pPr>
      <w:ind w:left="720"/>
      <w:contextualSpacing/>
    </w:pPr>
  </w:style>
  <w:style w:type="table" w:styleId="Taulaambquadrcula">
    <w:name w:val="Table Grid"/>
    <w:basedOn w:val="Taulanormal"/>
    <w:uiPriority w:val="39"/>
    <w:rsid w:val="00443FBD"/>
    <w:rPr>
      <w:rFonts w:eastAsiaTheme="minorEastAsia"/>
      <w:sz w:val="22"/>
      <w:szCs w:val="22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5929"/>
    <w:pPr>
      <w:spacing w:before="100" w:beforeAutospacing="1" w:after="100" w:afterAutospacing="1"/>
    </w:pPr>
  </w:style>
  <w:style w:type="character" w:styleId="Enlla">
    <w:name w:val="Hyperlink"/>
    <w:basedOn w:val="Lletraperdefectedelpargraf"/>
    <w:uiPriority w:val="99"/>
    <w:unhideWhenUsed/>
    <w:rsid w:val="00E15CD2"/>
    <w:rPr>
      <w:color w:val="0563C1" w:themeColor="hyperlink"/>
      <w:u w:val="single"/>
    </w:rPr>
  </w:style>
  <w:style w:type="character" w:customStyle="1" w:styleId="Mentionnonrsolue1">
    <w:name w:val="Mention non résolue1"/>
    <w:basedOn w:val="Lletraperdefectedelpargraf"/>
    <w:uiPriority w:val="99"/>
    <w:semiHidden/>
    <w:unhideWhenUsed/>
    <w:rsid w:val="00E15CD2"/>
    <w:rPr>
      <w:color w:val="605E5C"/>
      <w:shd w:val="clear" w:color="auto" w:fill="E1DFDD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C2273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EC2273"/>
    <w:rPr>
      <w:rFonts w:eastAsiaTheme="minorEastAsia"/>
      <w:sz w:val="20"/>
      <w:szCs w:val="20"/>
      <w:lang w:val="ca-ES" w:eastAsia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EC2273"/>
    <w:rPr>
      <w:vertAlign w:val="superscript"/>
    </w:rPr>
  </w:style>
  <w:style w:type="character" w:customStyle="1" w:styleId="apple-tab-span">
    <w:name w:val="apple-tab-span"/>
    <w:basedOn w:val="Lletraperdefectedelpargraf"/>
    <w:rsid w:val="007F272B"/>
  </w:style>
  <w:style w:type="paragraph" w:styleId="Peu">
    <w:name w:val="footer"/>
    <w:basedOn w:val="Normal"/>
    <w:link w:val="PeuCar"/>
    <w:uiPriority w:val="99"/>
    <w:unhideWhenUsed/>
    <w:rsid w:val="00101A6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01A66"/>
    <w:rPr>
      <w:rFonts w:eastAsiaTheme="minorEastAsia"/>
      <w:sz w:val="22"/>
      <w:szCs w:val="22"/>
      <w:lang w:val="ca-ES" w:eastAsia="ca-ES"/>
    </w:rPr>
  </w:style>
  <w:style w:type="character" w:styleId="Nmerodepgina">
    <w:name w:val="page number"/>
    <w:basedOn w:val="Lletraperdefectedelpargraf"/>
    <w:uiPriority w:val="99"/>
    <w:semiHidden/>
    <w:unhideWhenUsed/>
    <w:rsid w:val="00101A66"/>
  </w:style>
  <w:style w:type="paragraph" w:styleId="HTMLambformatprevi">
    <w:name w:val="HTML Preformatted"/>
    <w:basedOn w:val="Normal"/>
    <w:link w:val="HTMLambformatpreviCar"/>
    <w:uiPriority w:val="99"/>
    <w:unhideWhenUsed/>
    <w:rsid w:val="00E80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E808D2"/>
    <w:rPr>
      <w:rFonts w:ascii="Courier New" w:eastAsia="Times New Roman" w:hAnsi="Courier New" w:cs="Courier New"/>
      <w:kern w:val="0"/>
      <w:sz w:val="20"/>
      <w:szCs w:val="20"/>
      <w:lang w:eastAsia="es-ES_tradnl"/>
      <w14:ligatures w14:val="none"/>
    </w:rPr>
  </w:style>
  <w:style w:type="character" w:customStyle="1" w:styleId="y2iqfc">
    <w:name w:val="y2iqfc"/>
    <w:basedOn w:val="Lletraperdefectedelpargraf"/>
    <w:rsid w:val="00E808D2"/>
  </w:style>
  <w:style w:type="character" w:customStyle="1" w:styleId="apple-converted-space">
    <w:name w:val="apple-converted-space"/>
    <w:basedOn w:val="Lletraperdefectedelpargraf"/>
    <w:rsid w:val="0000203F"/>
  </w:style>
  <w:style w:type="paragraph" w:customStyle="1" w:styleId="Normal1">
    <w:name w:val="Normal1"/>
    <w:basedOn w:val="Normal"/>
    <w:rsid w:val="000541A5"/>
    <w:pPr>
      <w:spacing w:before="100" w:beforeAutospacing="1" w:after="100" w:afterAutospacing="1"/>
    </w:pPr>
    <w:rPr>
      <w:lang w:val="ca-ES" w:eastAsia="ca-ES"/>
    </w:rPr>
  </w:style>
  <w:style w:type="character" w:customStyle="1" w:styleId="outputecliaff">
    <w:name w:val="outputecliaff"/>
    <w:basedOn w:val="Lletraperdefectedelpargraf"/>
    <w:rsid w:val="00C65937"/>
  </w:style>
  <w:style w:type="character" w:customStyle="1" w:styleId="hgkelc">
    <w:name w:val="hgkelc"/>
    <w:basedOn w:val="Lletraperdefectedelpargraf"/>
    <w:rsid w:val="00974680"/>
  </w:style>
  <w:style w:type="character" w:styleId="mfasi">
    <w:name w:val="Emphasis"/>
    <w:basedOn w:val="Lletraperdefectedelpargraf"/>
    <w:uiPriority w:val="20"/>
    <w:qFormat/>
    <w:rsid w:val="00B6326F"/>
    <w:rPr>
      <w:i/>
      <w:iCs/>
    </w:rPr>
  </w:style>
  <w:style w:type="table" w:customStyle="1" w:styleId="Taulaambquadrcula1">
    <w:name w:val="Taula amb quadrícula1"/>
    <w:basedOn w:val="Taulanormal"/>
    <w:uiPriority w:val="39"/>
    <w:rsid w:val="00B05272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1pointnumerotealtn">
    <w:name w:val="c01pointnumerotealtn"/>
    <w:basedOn w:val="Normal"/>
    <w:rsid w:val="0030456A"/>
    <w:pPr>
      <w:spacing w:before="100" w:beforeAutospacing="1" w:after="100" w:afterAutospacing="1"/>
    </w:pPr>
    <w:rPr>
      <w:lang w:val="ca-ES" w:eastAsia="ca-ES"/>
    </w:rPr>
  </w:style>
  <w:style w:type="paragraph" w:styleId="Revisi">
    <w:name w:val="Revision"/>
    <w:hidden/>
    <w:uiPriority w:val="99"/>
    <w:semiHidden/>
    <w:rsid w:val="00111E17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ennegreta">
    <w:name w:val="Strong"/>
    <w:basedOn w:val="Lletraperdefectedelpargraf"/>
    <w:uiPriority w:val="22"/>
    <w:qFormat/>
    <w:rsid w:val="000A402F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010B27"/>
    <w:pPr>
      <w:tabs>
        <w:tab w:val="center" w:pos="4536"/>
        <w:tab w:val="right" w:pos="9072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10B27"/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04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003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43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12b6c1-4208-40cd-a392-0a6ade77a50b" xsi:nil="true"/>
    <lcf76f155ced4ddcb4097134ff3c332f xmlns="78e59776-a062-41eb-82f2-f1f2863a73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931C9968D945AA277EDB8A218FCF" ma:contentTypeVersion="18" ma:contentTypeDescription="Crée un document." ma:contentTypeScope="" ma:versionID="24a6dd99d959a29c0d19094bcaf9ef26">
  <xsd:schema xmlns:xsd="http://www.w3.org/2001/XMLSchema" xmlns:xs="http://www.w3.org/2001/XMLSchema" xmlns:p="http://schemas.microsoft.com/office/2006/metadata/properties" xmlns:ns2="78e59776-a062-41eb-82f2-f1f2863a73d1" xmlns:ns3="ad12b6c1-4208-40cd-a392-0a6ade77a50b" targetNamespace="http://schemas.microsoft.com/office/2006/metadata/properties" ma:root="true" ma:fieldsID="debb7080613cca79a2740f0018dcdbfd" ns2:_="" ns3:_="">
    <xsd:import namespace="78e59776-a062-41eb-82f2-f1f2863a73d1"/>
    <xsd:import namespace="ad12b6c1-4208-40cd-a392-0a6ade77a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59776-a062-41eb-82f2-f1f2863a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dd0a826-c279-4889-a048-289124af91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b6c1-4208-40cd-a392-0a6ade77a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1e8af4-1589-49b2-806b-a7aa26539a7b}" ma:internalName="TaxCatchAll" ma:showField="CatchAllData" ma:web="ad12b6c1-4208-40cd-a392-0a6ade77a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41196-7DE0-49DD-8B1D-7A2237710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6D87C-3FA7-488F-9500-6322F2967EB7}">
  <ds:schemaRefs>
    <ds:schemaRef ds:uri="http://schemas.microsoft.com/office/2006/metadata/properties"/>
    <ds:schemaRef ds:uri="http://schemas.microsoft.com/office/infopath/2007/PartnerControls"/>
    <ds:schemaRef ds:uri="ad12b6c1-4208-40cd-a392-0a6ade77a50b"/>
    <ds:schemaRef ds:uri="78e59776-a062-41eb-82f2-f1f2863a73d1"/>
  </ds:schemaRefs>
</ds:datastoreItem>
</file>

<file path=customXml/itemProps3.xml><?xml version="1.0" encoding="utf-8"?>
<ds:datastoreItem xmlns:ds="http://schemas.openxmlformats.org/officeDocument/2006/customXml" ds:itemID="{B82F1CC6-7ABB-4A36-8FB7-7ECE227ED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59776-a062-41eb-82f2-f1f2863a73d1"/>
    <ds:schemaRef ds:uri="ad12b6c1-4208-40cd-a392-0a6ade77a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957B7-8908-4FD2-AF26-3FD08362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Jordana Santiago</dc:creator>
  <cp:keywords>, docId:1AFC96CC63C125CD0566A8DE985793EC</cp:keywords>
  <dc:description/>
  <cp:lastModifiedBy>Angeles Montoya</cp:lastModifiedBy>
  <cp:revision>4</cp:revision>
  <dcterms:created xsi:type="dcterms:W3CDTF">2024-11-13T16:33:00Z</dcterms:created>
  <dcterms:modified xsi:type="dcterms:W3CDTF">2024-12-04T20:20:00Z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0x0101004BA6931C9968D945AA277EDB8A218FCF</vt:lpwstr>
  </property>
  <property fmtid="{D5CDD505-2E9C-101B-9397-08002B2CF9AE}" pid="3" name="MediaServiceImageTags">
    <vt:lpwstr/>
  </property>
</Properties>
</file>